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PSG-100</w:t>
      </w:r>
    </w:p>
    <w:p>
      <w:r>
        <w:rPr>
          <w:b/>
          <w:sz w:val="26"/>
        </w:rPr>
        <w:t>Hydraulikset für Glastüren</w:t>
        <w:br/>
        <w:t>inkl. oberem Drehzapfen aus Edelstahl, matt gebürstet</w:t>
      </w:r>
    </w:p>
    <w:p>
      <w:pPr>
        <w:pStyle w:val="Heading1"/>
      </w:pPr>
      <w:r>
        <w:t>Produktdatenblatt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6690"/>
      </w:tblGrid>
      <w:tr>
        <w:tc>
          <w:tcPr>
            <w:tcW w:type="dxa" w:w="2721"/>
            <w:vAlign w:val="top"/>
          </w:tcPr>
          <w:p>
            <w:r>
              <w:rPr>
                <w:b/>
              </w:rPr>
              <w:t>Geeignet für folgende Türtypen</w:t>
            </w:r>
          </w:p>
        </w:tc>
        <w:tc>
          <w:tcPr>
            <w:tcW w:type="dxa" w:w="6690"/>
            <w:vAlign w:val="top"/>
          </w:tcPr>
          <w:p>
            <w:r>
              <w:t>Pendeltüren mit Einfach- oder Doppelverglasung</w:t>
            </w:r>
          </w:p>
        </w:tc>
      </w:tr>
      <w:tr>
        <w:tc>
          <w:tcPr>
            <w:tcW w:type="dxa" w:w="2721"/>
            <w:vAlign w:val="top"/>
          </w:tcPr>
          <w:p>
            <w:r>
              <w:rPr>
                <w:b/>
              </w:rPr>
              <w:t>Türstärke</w:t>
            </w:r>
          </w:p>
        </w:tc>
        <w:tc>
          <w:tcPr>
            <w:tcW w:type="dxa" w:w="6690"/>
            <w:vAlign w:val="top"/>
          </w:tcPr>
          <w:p>
            <w:r>
              <w:t>Für Türen ab 8 mm</w:t>
            </w:r>
          </w:p>
        </w:tc>
      </w:tr>
      <w:tr>
        <w:tc>
          <w:tcPr>
            <w:tcW w:type="dxa" w:w="2721"/>
            <w:vAlign w:val="top"/>
          </w:tcPr>
          <w:p>
            <w:r>
              <w:rPr>
                <w:b/>
              </w:rPr>
              <w:t>Geeignet für raumhohe Türen</w:t>
            </w:r>
          </w:p>
        </w:tc>
        <w:tc>
          <w:tcPr>
            <w:tcW w:type="dxa" w:w="6690"/>
            <w:vAlign w:val="top"/>
          </w:tcPr>
          <w:p>
            <w:r>
              <w:t>Dank unseres einzigartigen oberen Drehzapfens ist eine Montage bis zu 3 mm unterhalb der Decke möglich. Dies ist sogar bei raumhohen Türen möglich.</w:t>
            </w:r>
          </w:p>
        </w:tc>
      </w:tr>
      <w:tr>
        <w:tc>
          <w:tcPr>
            <w:tcW w:type="dxa" w:w="2721"/>
            <w:vAlign w:val="top"/>
          </w:tcPr>
          <w:p>
            <w:r>
              <w:rPr>
                <w:b/>
              </w:rPr>
              <w:t>Bedienung</w:t>
            </w:r>
          </w:p>
        </w:tc>
        <w:tc>
          <w:tcPr>
            <w:tcW w:type="dxa" w:w="6690"/>
            <w:vAlign w:val="top"/>
          </w:tcPr>
          <w:p>
            <w:r>
              <w:t>Federleichte Bedienung</w:t>
            </w:r>
          </w:p>
        </w:tc>
      </w:tr>
      <w:tr>
        <w:tc>
          <w:tcPr>
            <w:tcW w:type="dxa" w:w="2721"/>
            <w:vAlign w:val="top"/>
          </w:tcPr>
          <w:p>
            <w:r>
              <w:rPr>
                <w:b/>
              </w:rPr>
              <w:t>Drehpunkt</w:t>
            </w:r>
          </w:p>
        </w:tc>
        <w:tc>
          <w:tcPr>
            <w:tcW w:type="dxa" w:w="6690"/>
            <w:vAlign w:val="top"/>
          </w:tcPr>
          <w:p>
            <w:r>
              <w:t>An der Stirnseite</w:t>
            </w:r>
          </w:p>
        </w:tc>
      </w:tr>
      <w:tr>
        <w:tc>
          <w:tcPr>
            <w:tcW w:type="dxa" w:w="2721"/>
            <w:vAlign w:val="top"/>
          </w:tcPr>
          <w:p>
            <w:r>
              <w:rPr>
                <w:b/>
              </w:rPr>
              <w:t>Geeignet für Fußbodenheizung</w:t>
            </w:r>
          </w:p>
        </w:tc>
        <w:tc>
          <w:tcPr>
            <w:tcW w:type="dxa" w:w="6690"/>
            <w:vAlign w:val="top"/>
          </w:tcPr>
          <w:p>
            <w:r>
              <w:t>Bei unseren Systemen muss lediglich ein 8-mm-Loch gebohrt werden, wodurch das Risiko einer Beschädigung der Fußbodenheizung nahezu ausgeschlossen ist. Die Design-Bodenplatte sorgt für eine elegante Optik.</w:t>
            </w:r>
          </w:p>
        </w:tc>
      </w:tr>
      <w:tr>
        <w:tc>
          <w:tcPr>
            <w:tcW w:type="dxa" w:w="2721"/>
            <w:vAlign w:val="top"/>
          </w:tcPr>
          <w:p>
            <w:r>
              <w:rPr>
                <w:b/>
              </w:rPr>
              <w:t>Geprüft nach DIN EN 1154</w:t>
            </w:r>
          </w:p>
        </w:tc>
        <w:tc>
          <w:tcPr>
            <w:tcW w:type="dxa" w:w="6690"/>
            <w:vAlign w:val="top"/>
          </w:tcPr>
          <w:p>
            <w:r>
              <w:t>Unsere Systeme wurden gemäß der europäischen Norm für hydraulische Systeme geprüft. Mindestens 500.000 Zyklen sind gewährleistet.</w:t>
            </w:r>
          </w:p>
        </w:tc>
      </w:tr>
      <w:tr>
        <w:tc>
          <w:tcPr>
            <w:tcW w:type="dxa" w:w="2721"/>
            <w:vAlign w:val="top"/>
          </w:tcPr>
          <w:p>
            <w:r>
              <w:rPr>
                <w:b/>
              </w:rPr>
              <w:t>Garantie</w:t>
            </w:r>
          </w:p>
        </w:tc>
        <w:tc>
          <w:tcPr>
            <w:tcW w:type="dxa" w:w="6690"/>
            <w:vAlign w:val="top"/>
          </w:tcPr>
          <w:p>
            <w:r>
              <w:t>2 Jahre Sorglos-Garantie</w:t>
            </w:r>
          </w:p>
        </w:tc>
      </w:tr>
      <w:tr>
        <w:tc>
          <w:tcPr>
            <w:tcW w:type="dxa" w:w="2721"/>
            <w:vAlign w:val="top"/>
          </w:tcPr>
          <w:p>
            <w:r>
              <w:rPr>
                <w:b/>
              </w:rPr>
              <w:t>Einstellbare Schließgeschwindigkeit</w:t>
            </w:r>
          </w:p>
        </w:tc>
        <w:tc>
          <w:tcPr>
            <w:tcW w:type="dxa" w:w="6690"/>
            <w:vAlign w:val="top"/>
          </w:tcPr>
          <w:p>
            <w:r>
              <w:t>Standardmäßig mit einstellbarer Schließgeschwindigkeit und einer 0-Punkt-Einstellung ausgestattet.</w:t>
            </w:r>
          </w:p>
        </w:tc>
      </w:tr>
      <w:tr>
        <w:tc>
          <w:tcPr>
            <w:tcW w:type="dxa" w:w="2721"/>
            <w:vAlign w:val="top"/>
          </w:tcPr>
          <w:p>
            <w:r>
              <w:rPr>
                <w:b/>
              </w:rPr>
              <w:t>Türgewicht</w:t>
            </w:r>
          </w:p>
        </w:tc>
        <w:tc>
          <w:tcPr>
            <w:tcW w:type="dxa" w:w="6690"/>
            <w:vAlign w:val="top"/>
          </w:tcPr>
          <w:p>
            <w:r>
              <w:t>Bis zu einem Gewicht von 100 kg pro Türflügel.</w:t>
            </w:r>
          </w:p>
        </w:tc>
      </w:tr>
      <w:tr>
        <w:tc>
          <w:tcPr>
            <w:tcW w:type="dxa" w:w="2721"/>
            <w:vAlign w:val="top"/>
          </w:tcPr>
          <w:p>
            <w:r>
              <w:rPr>
                <w:b/>
              </w:rPr>
              <w:t>Türbreite</w:t>
            </w:r>
          </w:p>
        </w:tc>
        <w:tc>
          <w:tcPr>
            <w:tcW w:type="dxa" w:w="6690"/>
            <w:vAlign w:val="top"/>
          </w:tcPr>
          <w:p>
            <w:r>
              <w:t>Maximale Türbreite 950 mm.</w:t>
            </w:r>
          </w:p>
        </w:tc>
      </w:tr>
    </w:tbl>
    <w:p>
      <w:pPr>
        <w:pStyle w:val="Heading2"/>
      </w:pPr>
      <w:r>
        <w:t>Artikelnummer</w:t>
      </w:r>
    </w:p>
    <w:p>
      <w:r>
        <w:t>PSG-100 Set für Glastüren inkl. oberem Drehzapfen aus Edelstahl, matt gebürstet</w:t>
        <w:br/>
        <w:t>40-0200-003</w:t>
      </w:r>
    </w:p>
    <w:p>
      <w:pPr>
        <w:pStyle w:val="Heading2"/>
      </w:pPr>
      <w:r>
        <w:t>Hinweis</w:t>
      </w:r>
    </w:p>
    <w:p>
      <w:r>
        <w:t>Die technischen Produktabbildungen und die Maßzeichnung befinden sich im ursprünglichen Produktdatenblatt. Die vorliegende Fassung enthält die vollständige deutsche Übersetzung der dort angegebenen Texte und Spezifikationen.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