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0"/>
        </w:rPr>
        <w:t>CT40-0200-080</w:t>
      </w:r>
    </w:p>
    <w:p>
      <w:r>
        <w:rPr>
          <w:b/>
          <w:sz w:val="28"/>
        </w:rPr>
        <w:t>Hydraulisches Einbau-Pendeltürscharnier</w:t>
      </w:r>
    </w:p>
    <w:p>
      <w:r>
        <w:rPr>
          <w:b/>
          <w:sz w:val="22"/>
        </w:rPr>
        <w:t>Datenblatt &amp; Maßzeichnung</w:t>
      </w:r>
    </w:p>
    <w:p>
      <w:pPr>
        <w:pStyle w:val="Heading1"/>
      </w:pPr>
      <w:r>
        <w:t>Eigenschaften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3288"/>
            <w:vAlign w:val="top"/>
          </w:tcPr>
          <w:p>
            <w:r>
              <w:rPr>
                <w:b/>
              </w:rPr>
              <w:t>Geeignet für folgende Türtypen</w:t>
            </w:r>
          </w:p>
        </w:tc>
        <w:tc>
          <w:tcPr>
            <w:tcW w:type="dxa" w:w="6350"/>
            <w:vAlign w:val="top"/>
          </w:tcPr>
          <w:p>
            <w:r>
              <w:t>Pendeltüren, ein- oder doppelflügelig, aus Holz, Stahl und Aluminium.</w:t>
            </w:r>
          </w:p>
        </w:tc>
      </w:tr>
      <w:tr>
        <w:tc>
          <w:tcPr>
            <w:tcW w:type="dxa" w:w="3288"/>
            <w:vAlign w:val="top"/>
          </w:tcPr>
          <w:p>
            <w:r>
              <w:rPr>
                <w:b/>
              </w:rPr>
              <w:t>Türstärke</w:t>
            </w:r>
          </w:p>
        </w:tc>
        <w:tc>
          <w:tcPr>
            <w:tcW w:type="dxa" w:w="6350"/>
            <w:vAlign w:val="top"/>
          </w:tcPr>
          <w:p>
            <w:r>
              <w:t>Für Türen ab 54 mm.</w:t>
            </w:r>
          </w:p>
        </w:tc>
      </w:tr>
      <w:tr>
        <w:tc>
          <w:tcPr>
            <w:tcW w:type="dxa" w:w="3288"/>
            <w:vAlign w:val="top"/>
          </w:tcPr>
          <w:p>
            <w:r>
              <w:rPr>
                <w:b/>
              </w:rPr>
              <w:t>Unsichtbar</w:t>
            </w:r>
          </w:p>
        </w:tc>
        <w:tc>
          <w:tcPr>
            <w:tcW w:type="dxa" w:w="6350"/>
            <w:vAlign w:val="top"/>
          </w:tcPr>
          <w:p>
            <w:r>
              <w:t>Der obere und untere Drehzapfen sind in der Tür integriert. Sichtbar ist lediglich der Drehpunkt.</w:t>
            </w:r>
          </w:p>
        </w:tc>
      </w:tr>
      <w:tr>
        <w:tc>
          <w:tcPr>
            <w:tcW w:type="dxa" w:w="3288"/>
            <w:vAlign w:val="top"/>
          </w:tcPr>
          <w:p>
            <w:r>
              <w:rPr>
                <w:b/>
              </w:rPr>
              <w:t>Geeignet für raumhohe Türen</w:t>
            </w:r>
          </w:p>
        </w:tc>
        <w:tc>
          <w:tcPr>
            <w:tcW w:type="dxa" w:w="6350"/>
            <w:vAlign w:val="top"/>
          </w:tcPr>
          <w:p>
            <w:r>
              <w:t>Dank des einzigartigen oberen Drehzapfens ist eine Montage bis zu 3 mm unterhalb der Decke möglich. Dies ist auch bei raumhohen Türen möglich.</w:t>
            </w:r>
          </w:p>
        </w:tc>
      </w:tr>
      <w:tr>
        <w:tc>
          <w:tcPr>
            <w:tcW w:type="dxa" w:w="3288"/>
            <w:vAlign w:val="top"/>
          </w:tcPr>
          <w:p>
            <w:r>
              <w:rPr>
                <w:b/>
              </w:rPr>
              <w:t>Bedienung und Drehpunkt</w:t>
            </w:r>
          </w:p>
        </w:tc>
        <w:tc>
          <w:tcPr>
            <w:tcW w:type="dxa" w:w="6350"/>
            <w:vAlign w:val="top"/>
          </w:tcPr>
          <w:p>
            <w:r>
              <w:t>Federleichte Bedienung. Der Drehpunkt kann sich an der Stirnseite oder in der Mitte der Tür befinden.</w:t>
            </w:r>
          </w:p>
        </w:tc>
      </w:tr>
      <w:tr>
        <w:tc>
          <w:tcPr>
            <w:tcW w:type="dxa" w:w="3288"/>
            <w:vAlign w:val="top"/>
          </w:tcPr>
          <w:p>
            <w:r>
              <w:rPr>
                <w:b/>
              </w:rPr>
              <w:t>Geeignet für Fußbodenheizung</w:t>
            </w:r>
          </w:p>
        </w:tc>
        <w:tc>
          <w:tcPr>
            <w:tcW w:type="dxa" w:w="6350"/>
            <w:vAlign w:val="top"/>
          </w:tcPr>
          <w:p>
            <w:r>
              <w:t>Bei diesem System muss lediglich ein 8-mm-Loch gebohrt werden. Dadurch ist das Risiko einer Beschädigung der Fußbodenheizung nahezu ausgeschlossen. Die Design-Bodenplatte sorgt für eine elegante Optik.</w:t>
            </w:r>
          </w:p>
        </w:tc>
      </w:tr>
      <w:tr>
        <w:tc>
          <w:tcPr>
            <w:tcW w:type="dxa" w:w="3288"/>
            <w:vAlign w:val="top"/>
          </w:tcPr>
          <w:p>
            <w:r>
              <w:rPr>
                <w:b/>
              </w:rPr>
              <w:t>Geprüft nach DIN EN 1154</w:t>
            </w:r>
          </w:p>
        </w:tc>
        <w:tc>
          <w:tcPr>
            <w:tcW w:type="dxa" w:w="6350"/>
            <w:vAlign w:val="top"/>
          </w:tcPr>
          <w:p>
            <w:r>
              <w:t>Das System wurde gemäß der europäischen Norm für hydraulische Systeme geprüft. Mindestens 500.000 Zyklen sind gewährleistet.</w:t>
            </w:r>
          </w:p>
        </w:tc>
      </w:tr>
      <w:tr>
        <w:tc>
          <w:tcPr>
            <w:tcW w:type="dxa" w:w="3288"/>
            <w:vAlign w:val="top"/>
          </w:tcPr>
          <w:p>
            <w:r>
              <w:rPr>
                <w:b/>
              </w:rPr>
              <w:t>Garantie</w:t>
            </w:r>
          </w:p>
        </w:tc>
        <w:tc>
          <w:tcPr>
            <w:tcW w:type="dxa" w:w="6350"/>
            <w:vAlign w:val="top"/>
          </w:tcPr>
          <w:p>
            <w:r>
              <w:t>5 Jahre Sorglos-Garantie.</w:t>
            </w:r>
          </w:p>
        </w:tc>
      </w:tr>
      <w:tr>
        <w:tc>
          <w:tcPr>
            <w:tcW w:type="dxa" w:w="3288"/>
            <w:vAlign w:val="top"/>
          </w:tcPr>
          <w:p>
            <w:r>
              <w:rPr>
                <w:b/>
              </w:rPr>
              <w:t>Einstellbare Schließgeschwindigkeit</w:t>
            </w:r>
          </w:p>
        </w:tc>
        <w:tc>
          <w:tcPr>
            <w:tcW w:type="dxa" w:w="6350"/>
            <w:vAlign w:val="top"/>
          </w:tcPr>
          <w:p>
            <w:r>
              <w:t>Standardmäßig mit einstellbarer Schließgeschwindigkeit und 0-Punkt-Einstellung ausgestattet.</w:t>
            </w:r>
          </w:p>
        </w:tc>
      </w:tr>
      <w:tr>
        <w:tc>
          <w:tcPr>
            <w:tcW w:type="dxa" w:w="3288"/>
            <w:vAlign w:val="top"/>
          </w:tcPr>
          <w:p>
            <w:r>
              <w:rPr>
                <w:b/>
              </w:rPr>
              <w:t>Türgewicht</w:t>
            </w:r>
          </w:p>
        </w:tc>
        <w:tc>
          <w:tcPr>
            <w:tcW w:type="dxa" w:w="6350"/>
            <w:vAlign w:val="top"/>
          </w:tcPr>
          <w:p>
            <w:r>
              <w:t>Bis zu 150 kg pro Türflügel.</w:t>
            </w:r>
          </w:p>
        </w:tc>
      </w:tr>
      <w:tr>
        <w:tc>
          <w:tcPr>
            <w:tcW w:type="dxa" w:w="3288"/>
            <w:vAlign w:val="top"/>
          </w:tcPr>
          <w:p>
            <w:r>
              <w:rPr>
                <w:b/>
              </w:rPr>
              <w:t>Türbreite</w:t>
            </w:r>
          </w:p>
        </w:tc>
        <w:tc>
          <w:tcPr>
            <w:tcW w:type="dxa" w:w="6350"/>
            <w:vAlign w:val="top"/>
          </w:tcPr>
          <w:p>
            <w:r>
              <w:t>Maximale Türbreite 1250 mm.</w:t>
            </w:r>
          </w:p>
        </w:tc>
      </w:tr>
    </w:tbl>
    <w:p>
      <w:pPr>
        <w:pStyle w:val="Heading1"/>
      </w:pPr>
      <w:r>
        <w:t>Maßzeichnung</w:t>
      </w:r>
    </w:p>
    <w:p>
      <w:r>
        <w:t>Maße laut Originalzeichnung: Gesamtlänge 184 mm. In der Vorderansicht sind unter anderem 40 mm und 64 mm angegeben. Weitere Detailmaße sind der Originalzeichnung zu entnehmen.</w:t>
      </w:r>
    </w:p>
    <w:p>
      <w:pPr>
        <w:pStyle w:val="Heading2"/>
      </w:pPr>
      <w:r>
        <w:t>Hinweis</w:t>
      </w:r>
    </w:p>
    <w:p>
      <w:r>
        <w:t>Diese deutsche Fassung basiert ausschließlich auf dem bereitgestellten niederländischen Datenblatt. Die technischen Angaben wurden inhaltlich übernommen und übersichtlich neu gesetzt.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